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2B7766" w14:textId="77777777" w:rsidR="00A21E2D" w:rsidRDefault="00A21E2D" w:rsidP="009F3804">
      <w:pPr>
        <w:spacing w:line="360" w:lineRule="auto"/>
        <w:jc w:val="center"/>
        <w:rPr>
          <w:rFonts w:ascii="Arial" w:hAnsi="Arial" w:cs="Arial"/>
          <w:sz w:val="18"/>
          <w:szCs w:val="18"/>
          <w:u w:val="single"/>
          <w:shd w:val="clear" w:color="auto" w:fill="FFFFFF"/>
          <w:lang w:val="fr-BE"/>
        </w:rPr>
      </w:pPr>
    </w:p>
    <w:p w14:paraId="294CEFF2" w14:textId="77777777" w:rsidR="00A21E2D" w:rsidRDefault="00A21E2D" w:rsidP="009F3804">
      <w:pPr>
        <w:spacing w:line="360" w:lineRule="auto"/>
        <w:jc w:val="center"/>
        <w:rPr>
          <w:rFonts w:ascii="Arial" w:hAnsi="Arial" w:cs="Arial"/>
          <w:sz w:val="18"/>
          <w:szCs w:val="18"/>
          <w:u w:val="single"/>
          <w:shd w:val="clear" w:color="auto" w:fill="FFFFFF"/>
          <w:lang w:val="fr-BE"/>
        </w:rPr>
      </w:pPr>
    </w:p>
    <w:p w14:paraId="552F649E" w14:textId="3B9048FD" w:rsidR="009F3804" w:rsidRPr="00A21E2D" w:rsidRDefault="009F3804" w:rsidP="009F3804">
      <w:pPr>
        <w:spacing w:line="360" w:lineRule="auto"/>
        <w:jc w:val="center"/>
        <w:rPr>
          <w:rFonts w:ascii="Arial" w:hAnsi="Arial" w:cs="Arial"/>
          <w:b/>
          <w:bCs/>
          <w:u w:val="single"/>
          <w:shd w:val="clear" w:color="auto" w:fill="FFFFFF"/>
          <w:lang w:val="fr-BE"/>
        </w:rPr>
      </w:pPr>
      <w:r w:rsidRPr="00A21E2D">
        <w:rPr>
          <w:rFonts w:ascii="Arial" w:hAnsi="Arial" w:cs="Arial"/>
          <w:b/>
          <w:bCs/>
          <w:u w:val="single"/>
          <w:shd w:val="clear" w:color="auto" w:fill="FFFFFF"/>
          <w:lang w:val="fr-BE"/>
        </w:rPr>
        <w:t>La liste des fournisseurs qui ont conclu une convention d’exonération</w:t>
      </w:r>
    </w:p>
    <w:p w14:paraId="1633E38F" w14:textId="77777777" w:rsidR="009F3804" w:rsidRPr="00A21E2D" w:rsidRDefault="009F3804" w:rsidP="009F3804">
      <w:pPr>
        <w:spacing w:line="240" w:lineRule="auto"/>
        <w:jc w:val="both"/>
        <w:rPr>
          <w:rFonts w:ascii="Arial" w:hAnsi="Arial" w:cs="Arial"/>
          <w:sz w:val="20"/>
          <w:szCs w:val="20"/>
          <w:lang w:val="fr-BE"/>
        </w:rPr>
      </w:pPr>
      <w:r w:rsidRPr="00A21E2D">
        <w:rPr>
          <w:rFonts w:ascii="Arial" w:hAnsi="Arial" w:cs="Arial"/>
          <w:sz w:val="20"/>
          <w:szCs w:val="20"/>
          <w:lang w:val="fr-BE"/>
        </w:rPr>
        <w:t>L</w:t>
      </w:r>
      <w:r w:rsidR="00010F3D" w:rsidRPr="00A21E2D">
        <w:rPr>
          <w:rFonts w:ascii="Arial" w:hAnsi="Arial" w:cs="Arial"/>
          <w:sz w:val="20"/>
          <w:szCs w:val="20"/>
          <w:shd w:val="clear" w:color="auto" w:fill="FFFFFF"/>
          <w:lang w:val="fr-BE"/>
        </w:rPr>
        <w:t xml:space="preserve">iste des </w:t>
      </w:r>
      <w:r w:rsidR="00326A3D" w:rsidRPr="00A21E2D">
        <w:rPr>
          <w:rFonts w:ascii="Arial" w:hAnsi="Arial" w:cs="Arial"/>
          <w:sz w:val="20"/>
          <w:szCs w:val="20"/>
          <w:shd w:val="clear" w:color="auto" w:fill="FFFFFF"/>
          <w:lang w:val="fr-BE"/>
        </w:rPr>
        <w:t>fournisseurs</w:t>
      </w:r>
      <w:r w:rsidRPr="00A21E2D">
        <w:rPr>
          <w:rFonts w:ascii="Arial" w:hAnsi="Arial" w:cs="Arial"/>
          <w:sz w:val="20"/>
          <w:szCs w:val="20"/>
          <w:shd w:val="clear" w:color="auto" w:fill="FFFFFF"/>
          <w:lang w:val="fr-BE"/>
        </w:rPr>
        <w:t xml:space="preserve"> qui ont conclu avec Auvibel une co</w:t>
      </w:r>
      <w:r w:rsidR="00010F3D" w:rsidRPr="00A21E2D">
        <w:rPr>
          <w:rFonts w:ascii="Arial" w:hAnsi="Arial" w:cs="Arial"/>
          <w:sz w:val="20"/>
          <w:szCs w:val="20"/>
          <w:shd w:val="clear" w:color="auto" w:fill="FFFFFF"/>
          <w:lang w:val="fr-BE"/>
        </w:rPr>
        <w:t>nvention d’exonération portant</w:t>
      </w:r>
      <w:r w:rsidRPr="00A21E2D">
        <w:rPr>
          <w:rFonts w:ascii="Arial" w:hAnsi="Arial" w:cs="Arial"/>
          <w:sz w:val="20"/>
          <w:szCs w:val="20"/>
          <w:shd w:val="clear" w:color="auto" w:fill="FFFFFF"/>
          <w:lang w:val="fr-BE"/>
        </w:rPr>
        <w:t xml:space="preserve"> sur l’exonération du paiement de la rémunération pour copie privée pour les actes de mise en circulation sur le territoire national auprès d’usagers professionnels d’appareils et de supports qui font exclusivement l’objet d’un usage professionnel (</w:t>
      </w:r>
      <w:hyperlink r:id="rId7" w:tgtFrame="_blank" w:tooltip="l’arrêté royal du 11 décembre 2016 modifiant l’arrêté royal du 18 octobre 2013 relatif au droit à rémunération pour copie privée" w:history="1">
        <w:r w:rsidRPr="00A21E2D">
          <w:rPr>
            <w:rFonts w:ascii="Arial" w:hAnsi="Arial" w:cs="Arial"/>
            <w:sz w:val="20"/>
            <w:szCs w:val="20"/>
            <w:lang w:val="fr-BE"/>
          </w:rPr>
          <w:t>l’arrêté royal du 11 décembre 2016 modifiant l’arrêté royal du 18 octobre 2013 relatif au droit à rémunération pour copie privée</w:t>
        </w:r>
      </w:hyperlink>
      <w:r w:rsidRPr="00A21E2D">
        <w:rPr>
          <w:rFonts w:ascii="Arial" w:hAnsi="Arial" w:cs="Arial"/>
          <w:sz w:val="20"/>
          <w:szCs w:val="20"/>
          <w:lang w:val="fr-BE"/>
        </w:rPr>
        <w:t>).</w:t>
      </w:r>
    </w:p>
    <w:p w14:paraId="5FAD967A" w14:textId="77777777" w:rsidR="009F3804" w:rsidRPr="00A21E2D" w:rsidRDefault="009F3804" w:rsidP="009F3804">
      <w:pPr>
        <w:pBdr>
          <w:bottom w:val="single" w:sz="4" w:space="1" w:color="auto"/>
        </w:pBdr>
        <w:spacing w:line="240" w:lineRule="auto"/>
        <w:jc w:val="both"/>
        <w:rPr>
          <w:rFonts w:ascii="Arial" w:hAnsi="Arial" w:cs="Arial"/>
          <w:sz w:val="20"/>
          <w:szCs w:val="20"/>
          <w:shd w:val="clear" w:color="auto" w:fill="FFFFFF"/>
          <w:lang w:val="fr-BE"/>
        </w:rPr>
      </w:pPr>
    </w:p>
    <w:p w14:paraId="2172A2A2" w14:textId="77777777" w:rsidR="009F3804" w:rsidRPr="00A21E2D" w:rsidRDefault="009F3804" w:rsidP="00E96DCB">
      <w:pPr>
        <w:spacing w:line="360" w:lineRule="auto"/>
        <w:jc w:val="both"/>
        <w:rPr>
          <w:rFonts w:ascii="Arial" w:hAnsi="Arial" w:cs="Arial"/>
          <w:sz w:val="20"/>
          <w:szCs w:val="20"/>
          <w:shd w:val="clear" w:color="auto" w:fill="FFFFFF"/>
          <w:lang w:val="fr-BE"/>
        </w:rPr>
      </w:pPr>
    </w:p>
    <w:p w14:paraId="45D5F24C" w14:textId="77777777" w:rsidR="00010F3D" w:rsidRPr="00A21E2D" w:rsidRDefault="00326A3D" w:rsidP="00E96DCB">
      <w:pPr>
        <w:pStyle w:val="Lijstalinea"/>
        <w:numPr>
          <w:ilvl w:val="0"/>
          <w:numId w:val="1"/>
        </w:numPr>
        <w:spacing w:line="360" w:lineRule="auto"/>
        <w:jc w:val="both"/>
        <w:rPr>
          <w:rFonts w:ascii="Arial" w:hAnsi="Arial" w:cs="Arial"/>
          <w:sz w:val="20"/>
          <w:szCs w:val="20"/>
          <w:shd w:val="clear" w:color="auto" w:fill="FFFFFF"/>
          <w:lang w:val="fr-BE"/>
        </w:rPr>
      </w:pPr>
      <w:r w:rsidRPr="00A21E2D">
        <w:rPr>
          <w:rFonts w:ascii="Arial" w:hAnsi="Arial" w:cs="Arial"/>
          <w:sz w:val="20"/>
          <w:szCs w:val="20"/>
          <w:shd w:val="clear" w:color="auto" w:fill="FFFFFF"/>
          <w:lang w:val="fr-BE"/>
        </w:rPr>
        <w:t>Fabricants, i</w:t>
      </w:r>
      <w:r w:rsidR="00010F3D" w:rsidRPr="00A21E2D">
        <w:rPr>
          <w:rFonts w:ascii="Arial" w:hAnsi="Arial" w:cs="Arial"/>
          <w:sz w:val="20"/>
          <w:szCs w:val="20"/>
          <w:shd w:val="clear" w:color="auto" w:fill="FFFFFF"/>
          <w:lang w:val="fr-BE"/>
        </w:rPr>
        <w:t>mportateurs et acquéreurs intracommunautaires exclusifs ou grossistes</w:t>
      </w:r>
    </w:p>
    <w:p w14:paraId="3BBD3875" w14:textId="77777777" w:rsidR="009F3804" w:rsidRPr="00A21E2D" w:rsidRDefault="009F3804" w:rsidP="00E96DCB">
      <w:pPr>
        <w:spacing w:line="360" w:lineRule="auto"/>
        <w:jc w:val="both"/>
        <w:rPr>
          <w:rFonts w:ascii="Arial" w:hAnsi="Arial" w:cs="Arial"/>
          <w:sz w:val="20"/>
          <w:szCs w:val="20"/>
          <w:shd w:val="clear" w:color="auto" w:fill="FFFFFF"/>
          <w:lang w:val="fr-BE"/>
        </w:rPr>
      </w:pPr>
      <w:r w:rsidRPr="00A21E2D">
        <w:rPr>
          <w:rFonts w:ascii="Arial" w:hAnsi="Arial" w:cs="Arial"/>
          <w:sz w:val="20"/>
          <w:szCs w:val="20"/>
          <w:shd w:val="clear" w:color="auto" w:fill="FFFFFF"/>
          <w:lang w:val="fr-BE"/>
        </w:rPr>
        <w:t xml:space="preserve">Jusqu’à aujourd’hui, aucune convention d’exonération </w:t>
      </w:r>
      <w:r w:rsidR="00010F3D" w:rsidRPr="00A21E2D">
        <w:rPr>
          <w:rFonts w:ascii="Arial" w:hAnsi="Arial" w:cs="Arial"/>
          <w:sz w:val="20"/>
          <w:szCs w:val="20"/>
          <w:shd w:val="clear" w:color="auto" w:fill="FFFFFF"/>
          <w:lang w:val="fr-BE"/>
        </w:rPr>
        <w:t>n’</w:t>
      </w:r>
      <w:r w:rsidRPr="00A21E2D">
        <w:rPr>
          <w:rFonts w:ascii="Arial" w:hAnsi="Arial" w:cs="Arial"/>
          <w:sz w:val="20"/>
          <w:szCs w:val="20"/>
          <w:shd w:val="clear" w:color="auto" w:fill="FFFFFF"/>
          <w:lang w:val="fr-BE"/>
        </w:rPr>
        <w:t>a été conclu</w:t>
      </w:r>
      <w:r w:rsidR="00010F3D" w:rsidRPr="00A21E2D">
        <w:rPr>
          <w:rFonts w:ascii="Arial" w:hAnsi="Arial" w:cs="Arial"/>
          <w:sz w:val="20"/>
          <w:szCs w:val="20"/>
          <w:shd w:val="clear" w:color="auto" w:fill="FFFFFF"/>
          <w:lang w:val="fr-BE"/>
        </w:rPr>
        <w:t>e</w:t>
      </w:r>
      <w:r w:rsidRPr="00A21E2D">
        <w:rPr>
          <w:rFonts w:ascii="Arial" w:hAnsi="Arial" w:cs="Arial"/>
          <w:sz w:val="20"/>
          <w:szCs w:val="20"/>
          <w:shd w:val="clear" w:color="auto" w:fill="FFFFFF"/>
          <w:lang w:val="fr-BE"/>
        </w:rPr>
        <w:t>.</w:t>
      </w:r>
    </w:p>
    <w:p w14:paraId="652BBB17" w14:textId="77777777" w:rsidR="00010F3D" w:rsidRPr="00A21E2D" w:rsidRDefault="00010F3D" w:rsidP="00E96DCB">
      <w:pPr>
        <w:spacing w:line="360" w:lineRule="auto"/>
        <w:jc w:val="both"/>
        <w:rPr>
          <w:rFonts w:ascii="Arial" w:hAnsi="Arial" w:cs="Arial"/>
          <w:sz w:val="20"/>
          <w:szCs w:val="20"/>
          <w:shd w:val="clear" w:color="auto" w:fill="FFFFFF"/>
          <w:lang w:val="fr-BE"/>
        </w:rPr>
      </w:pPr>
    </w:p>
    <w:p w14:paraId="59B55259" w14:textId="77777777" w:rsidR="00E96DCB" w:rsidRPr="00A21E2D" w:rsidRDefault="00E96DCB" w:rsidP="00E96DCB">
      <w:pPr>
        <w:spacing w:line="360" w:lineRule="auto"/>
        <w:jc w:val="both"/>
        <w:rPr>
          <w:rFonts w:ascii="Arial" w:hAnsi="Arial" w:cs="Arial"/>
          <w:sz w:val="20"/>
          <w:szCs w:val="20"/>
          <w:shd w:val="clear" w:color="auto" w:fill="FFFFFF"/>
          <w:lang w:val="fr-BE"/>
        </w:rPr>
      </w:pPr>
    </w:p>
    <w:p w14:paraId="1C24F6E0" w14:textId="77777777" w:rsidR="00010F3D" w:rsidRPr="00A21E2D" w:rsidRDefault="00326A3D" w:rsidP="00E96DCB">
      <w:pPr>
        <w:pStyle w:val="Lijstalinea"/>
        <w:numPr>
          <w:ilvl w:val="0"/>
          <w:numId w:val="1"/>
        </w:numPr>
        <w:spacing w:line="360" w:lineRule="auto"/>
        <w:jc w:val="both"/>
        <w:rPr>
          <w:rFonts w:ascii="Arial" w:hAnsi="Arial" w:cs="Arial"/>
          <w:sz w:val="20"/>
          <w:szCs w:val="20"/>
          <w:shd w:val="clear" w:color="auto" w:fill="FFFFFF"/>
          <w:lang w:val="fr-BE"/>
        </w:rPr>
      </w:pPr>
      <w:r w:rsidRPr="00A21E2D">
        <w:rPr>
          <w:rFonts w:ascii="Arial" w:hAnsi="Arial" w:cs="Arial"/>
          <w:sz w:val="20"/>
          <w:szCs w:val="20"/>
          <w:shd w:val="clear" w:color="auto" w:fill="FFFFFF"/>
          <w:lang w:val="fr-BE"/>
        </w:rPr>
        <w:t>Autre importateur ou acquéreur intracommunautaire ou distributeur grossiste ou détaillant (article 8/3 AR 18 octobre 2013)</w:t>
      </w:r>
    </w:p>
    <w:p w14:paraId="511FC159" w14:textId="77777777" w:rsidR="00326A3D" w:rsidRPr="00A21E2D" w:rsidRDefault="00326A3D" w:rsidP="00E96DCB">
      <w:pPr>
        <w:spacing w:line="360" w:lineRule="auto"/>
        <w:jc w:val="both"/>
        <w:rPr>
          <w:rFonts w:ascii="Arial" w:hAnsi="Arial" w:cs="Arial"/>
          <w:sz w:val="20"/>
          <w:szCs w:val="20"/>
          <w:shd w:val="clear" w:color="auto" w:fill="FFFFFF"/>
          <w:lang w:val="fr-BE"/>
        </w:rPr>
      </w:pPr>
      <w:r w:rsidRPr="00A21E2D">
        <w:rPr>
          <w:rFonts w:ascii="Arial" w:hAnsi="Arial" w:cs="Arial"/>
          <w:sz w:val="20"/>
          <w:szCs w:val="20"/>
          <w:shd w:val="clear" w:color="auto" w:fill="FFFFFF"/>
          <w:lang w:val="fr-BE"/>
        </w:rPr>
        <w:t>Jusqu’à aujourd’hui, aucune convention d’exonération n’a été conclue.</w:t>
      </w:r>
    </w:p>
    <w:p w14:paraId="4A49423B" w14:textId="77777777" w:rsidR="009F3804" w:rsidRPr="00252A95" w:rsidRDefault="009F3804" w:rsidP="00E96DCB">
      <w:pPr>
        <w:spacing w:line="360" w:lineRule="auto"/>
        <w:jc w:val="both"/>
        <w:rPr>
          <w:rFonts w:ascii="Verdana" w:hAnsi="Verdana" w:cs="Arial"/>
          <w:sz w:val="18"/>
          <w:szCs w:val="18"/>
          <w:shd w:val="clear" w:color="auto" w:fill="FFFFFF"/>
          <w:lang w:val="fr-BE"/>
        </w:rPr>
      </w:pPr>
    </w:p>
    <w:p w14:paraId="777EB589" w14:textId="77777777" w:rsidR="00985CD2" w:rsidRPr="009F3804" w:rsidRDefault="00985CD2">
      <w:pPr>
        <w:rPr>
          <w:lang w:val="fr-BE"/>
        </w:rPr>
      </w:pPr>
    </w:p>
    <w:sectPr w:rsidR="00985CD2" w:rsidRPr="009F3804">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4175E" w14:textId="77777777" w:rsidR="00532125" w:rsidRDefault="00532125" w:rsidP="00A21E2D">
      <w:pPr>
        <w:spacing w:after="0" w:line="240" w:lineRule="auto"/>
      </w:pPr>
      <w:r>
        <w:separator/>
      </w:r>
    </w:p>
  </w:endnote>
  <w:endnote w:type="continuationSeparator" w:id="0">
    <w:p w14:paraId="7B3C7E6D" w14:textId="77777777" w:rsidR="00532125" w:rsidRDefault="00532125" w:rsidP="00A21E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1914A" w14:textId="77777777" w:rsidR="00532125" w:rsidRDefault="00532125" w:rsidP="00A21E2D">
      <w:pPr>
        <w:spacing w:after="0" w:line="240" w:lineRule="auto"/>
      </w:pPr>
      <w:r>
        <w:separator/>
      </w:r>
    </w:p>
  </w:footnote>
  <w:footnote w:type="continuationSeparator" w:id="0">
    <w:p w14:paraId="66E0E8D4" w14:textId="77777777" w:rsidR="00532125" w:rsidRDefault="00532125" w:rsidP="00A21E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4ABBD" w14:textId="523F48F1" w:rsidR="00A21E2D" w:rsidRDefault="00A21E2D">
    <w:pPr>
      <w:pStyle w:val="Koptekst"/>
    </w:pPr>
    <w:r>
      <w:rPr>
        <w:noProof/>
      </w:rPr>
      <w:drawing>
        <wp:inline distT="0" distB="0" distL="0" distR="0" wp14:anchorId="60DE2E4D" wp14:editId="208B8AAF">
          <wp:extent cx="2141220" cy="336336"/>
          <wp:effectExtent l="0" t="0" r="0" b="6985"/>
          <wp:docPr id="1991633770" name="Afbeelding 1" descr="Afbeelding met Graphics, Lettertype, grafische vormgeving,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33770" name="Afbeelding 1" descr="Afbeelding met Graphics, Lettertype, grafische vormgeving, schermopname&#10;&#10;Door AI gegenereerde inhoud is mogelijk onjuist."/>
                  <pic:cNvPicPr/>
                </pic:nvPicPr>
                <pic:blipFill>
                  <a:blip r:embed="rId1">
                    <a:extLst>
                      <a:ext uri="{28A0092B-C50C-407E-A947-70E740481C1C}">
                        <a14:useLocalDpi xmlns:a14="http://schemas.microsoft.com/office/drawing/2010/main" val="0"/>
                      </a:ext>
                    </a:extLst>
                  </a:blip>
                  <a:stretch>
                    <a:fillRect/>
                  </a:stretch>
                </pic:blipFill>
                <pic:spPr>
                  <a:xfrm>
                    <a:off x="0" y="0"/>
                    <a:ext cx="2185215" cy="34324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8C4783"/>
    <w:multiLevelType w:val="hybridMultilevel"/>
    <w:tmpl w:val="EDA42F64"/>
    <w:lvl w:ilvl="0" w:tplc="9E021E76">
      <w:start w:val="1"/>
      <w:numFmt w:val="upp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16cid:durableId="20543065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804"/>
    <w:rsid w:val="00010F3D"/>
    <w:rsid w:val="00326A3D"/>
    <w:rsid w:val="0050519D"/>
    <w:rsid w:val="005312FD"/>
    <w:rsid w:val="00532125"/>
    <w:rsid w:val="00723650"/>
    <w:rsid w:val="00985CD2"/>
    <w:rsid w:val="009F3804"/>
    <w:rsid w:val="00A21E2D"/>
    <w:rsid w:val="00A74F0F"/>
    <w:rsid w:val="00E96DCB"/>
  </w:rsids>
  <m:mathPr>
    <m:mathFont m:val="Cambria Math"/>
    <m:brkBin m:val="before"/>
    <m:brkBinSub m:val="--"/>
    <m:smallFrac m:val="0"/>
    <m:dispDef/>
    <m:lMargin m:val="0"/>
    <m:rMargin m:val="0"/>
    <m:defJc m:val="centerGroup"/>
    <m:wrapIndent m:val="1440"/>
    <m:intLim m:val="subSup"/>
    <m:naryLim m:val="undOvr"/>
  </m:mathPr>
  <w:themeFontLang w:val="nl-BE" w:bidi="ne-N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C0F84A"/>
  <w15:docId w15:val="{043116DC-485F-4053-82D7-CA0C49164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F3804"/>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10F3D"/>
    <w:pPr>
      <w:ind w:left="720"/>
      <w:contextualSpacing/>
    </w:pPr>
  </w:style>
  <w:style w:type="paragraph" w:styleId="Koptekst">
    <w:name w:val="header"/>
    <w:basedOn w:val="Standaard"/>
    <w:link w:val="KoptekstChar"/>
    <w:uiPriority w:val="99"/>
    <w:unhideWhenUsed/>
    <w:rsid w:val="00A21E2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21E2D"/>
  </w:style>
  <w:style w:type="paragraph" w:styleId="Voettekst">
    <w:name w:val="footer"/>
    <w:basedOn w:val="Standaard"/>
    <w:link w:val="VoettekstChar"/>
    <w:uiPriority w:val="99"/>
    <w:unhideWhenUsed/>
    <w:rsid w:val="00A21E2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21E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ejustice.just.fgov.be/doc/rech_n.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164</Words>
  <Characters>937</Characters>
  <Application>Microsoft Office Word</Application>
  <DocSecurity>0</DocSecurity>
  <Lines>7</Lines>
  <Paragraphs>2</Paragraphs>
  <ScaleCrop>false</ScaleCrop>
  <HeadingPairs>
    <vt:vector size="4" baseType="variant">
      <vt:variant>
        <vt:lpstr>Titre</vt:lpstr>
      </vt:variant>
      <vt:variant>
        <vt:i4>1</vt:i4>
      </vt:variant>
      <vt:variant>
        <vt:lpstr>Titel</vt:lpstr>
      </vt:variant>
      <vt:variant>
        <vt:i4>1</vt:i4>
      </vt:variant>
    </vt:vector>
  </HeadingPairs>
  <TitlesOfParts>
    <vt:vector size="2" baseType="lpstr">
      <vt:lpstr/>
      <vt:lpstr/>
    </vt:vector>
  </TitlesOfParts>
  <Company>HP</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Hanna Koonen</dc:creator>
  <cp:lastModifiedBy>Jari Van den Bossche</cp:lastModifiedBy>
  <cp:revision>2</cp:revision>
  <dcterms:created xsi:type="dcterms:W3CDTF">2025-02-17T13:27:00Z</dcterms:created>
  <dcterms:modified xsi:type="dcterms:W3CDTF">2025-02-17T13:27:00Z</dcterms:modified>
</cp:coreProperties>
</file>